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contracts</w:t>
      </w:r>
      <w:r>
        <w:rPr>
          <w:rFonts w:hint="eastAsia" w:ascii="微软雅黑" w:hAnsi="微软雅黑"/>
          <w:b w:val="0"/>
          <w:sz w:val="21"/>
          <w:lang w:val="en-US" w:eastAsia="zh-CN"/>
        </w:rPr>
        <w:t xml:space="preserve"> </w:t>
      </w:r>
      <w:bookmarkStart w:id="0" w:name="_GoBack"/>
      <w:bookmarkEnd w:id="0"/>
      <w:r>
        <w:rPr>
          <w:rFonts w:ascii="微软雅黑" w:hAnsi="微软雅黑"/>
          <w:b w:val="0"/>
          <w:sz w:val="21"/>
        </w:rPr>
        <w:t>0.16.0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2012-2016 Aditya Bhargava All rights reserved.</w:t>
      </w:r>
      <w:r>
        <w:rPr>
          <w:rFonts w:ascii="宋体" w:hAnsi="宋体"/>
          <w:sz w:val="22"/>
        </w:rPr>
        <w:br w:type="textWrapping"/>
      </w:r>
      <w:r>
        <w:rPr>
          <w:rFonts w:ascii="宋体" w:hAnsi="宋体"/>
          <w:sz w:val="22"/>
        </w:rPr>
        <w:t>Copyright 2012-2015 [Aditya Bhargava](http:adit.io).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7C9F77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2021-12-31T07:51:57Z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