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cppzmq 4.9.0</w:t>
      </w:r>
    </w:p>
    <w:p>
      <w:pPr/>
      <w:r>
        <w:rPr>
          <w:rStyle w:val="13"/>
          <w:rFonts w:ascii="Arial" w:hAnsi="Arial"/>
          <w:b/>
        </w:rPr>
        <w:t xml:space="preserve">Copyright notice: </w:t>
      </w:r>
    </w:p>
    <w:p>
      <w:pPr/>
      <w:r>
        <w:rPr>
          <w:rStyle w:val="13"/>
          <w:rFonts w:ascii="宋体" w:hAnsi="宋体"/>
          <w:sz w:val="22"/>
        </w:rPr>
        <w:t>Copyright (c) 2007-2009 iMatix Corporation</w:t>
        <w:br/>
        <w:t>Copyright (c) 2009-2011 250bpm s.r.o.</w:t>
        <w:br/>
        <w:t>Copyright (c) 2016-2017 ZeroMQ community</w:t>
        <w:br/>
        <w:t>Copyright (c) 2011 Botond Ballo</w:t>
        <w:br/>
        <w:t>Copyright (c) 2016 VOCA AS / Harald Nøkland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