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listen</w:t>
      </w:r>
      <w:r>
        <w:rPr>
          <w:rStyle w:val="13"/>
          <w:rFonts w:ascii="微软雅黑" w:hAnsi="微软雅黑"/>
          <w:b w:val="0"/>
          <w:sz w:val="21"/>
        </w:rPr>
        <w:t xml:space="preserve"> 3.1.5</w:t>
      </w:r>
    </w:p>
    <w:p>
      <w:pPr/>
      <w:r>
        <w:rPr>
          <w:rStyle w:val="13"/>
          <w:rFonts w:ascii="Arial" w:hAnsi="Arial"/>
          <w:b/>
        </w:rPr>
        <w:t xml:space="preserve">Copyright notice: </w:t>
      </w:r>
    </w:p>
    <w:p>
      <w:pPr/>
      <w:r>
        <w:rPr>
          <w:rStyle w:val="13"/>
          <w:rFonts w:ascii="宋体" w:hAnsi="宋体"/>
          <w:sz w:val="22"/>
        </w:rPr>
        <w:t>Copyright (c) 2013 Thibaud Guillaume-Gentil</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